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76" w:rsidRPr="00BE2D10" w:rsidRDefault="00D51F76" w:rsidP="00D51F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2D10">
        <w:rPr>
          <w:rFonts w:ascii="Times New Roman" w:hAnsi="Times New Roman" w:cs="Times New Roman"/>
          <w:b/>
          <w:sz w:val="28"/>
          <w:szCs w:val="28"/>
          <w:u w:val="single"/>
        </w:rPr>
        <w:t>Політична думка Стародавнього Китаю</w:t>
      </w:r>
    </w:p>
    <w:p w:rsidR="00D51F76" w:rsidRPr="00BE2D10" w:rsidRDefault="00D51F76" w:rsidP="00D51F76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Розквіту політична думка в Давньому Китаї досягла в другій половині І тис. до н. е.</w:t>
      </w:r>
    </w:p>
    <w:p w:rsidR="00D51F76" w:rsidRPr="00BE2D10" w:rsidRDefault="00D51F76" w:rsidP="00D51F76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 Найпомітніший серед мислителів — великий мораліст </w:t>
      </w:r>
      <w:r w:rsidRPr="00BE2D10">
        <w:rPr>
          <w:b/>
          <w:i/>
          <w:sz w:val="28"/>
          <w:szCs w:val="28"/>
        </w:rPr>
        <w:t>Конфуцій</w:t>
      </w:r>
      <w:r w:rsidRPr="00BE2D10">
        <w:rPr>
          <w:sz w:val="28"/>
          <w:szCs w:val="28"/>
        </w:rPr>
        <w:t xml:space="preserve"> (551—479 до н. e.), вчення якого назвали </w:t>
      </w:r>
      <w:r w:rsidRPr="00BE2D10">
        <w:rPr>
          <w:b/>
          <w:i/>
          <w:sz w:val="28"/>
          <w:szCs w:val="28"/>
        </w:rPr>
        <w:t>конфуціанство</w:t>
      </w:r>
      <w:r w:rsidRPr="00BE2D10">
        <w:rPr>
          <w:sz w:val="28"/>
          <w:szCs w:val="28"/>
        </w:rPr>
        <w:t xml:space="preserve">. Найдавнішим зібранням його афоризмів є трактат «Лунь </w:t>
      </w:r>
      <w:proofErr w:type="spellStart"/>
      <w:r w:rsidRPr="00BE2D10">
        <w:rPr>
          <w:sz w:val="28"/>
          <w:szCs w:val="28"/>
        </w:rPr>
        <w:t>юй</w:t>
      </w:r>
      <w:proofErr w:type="spellEnd"/>
      <w:r w:rsidRPr="00BE2D10">
        <w:rPr>
          <w:sz w:val="28"/>
          <w:szCs w:val="28"/>
        </w:rPr>
        <w:t xml:space="preserve">». Чільне місце у ньому посідає правитель-мудрець, який втілює досконалі знання ритуалу, культури, демонструє поважність, </w:t>
      </w:r>
      <w:proofErr w:type="spellStart"/>
      <w:r w:rsidRPr="00BE2D10">
        <w:rPr>
          <w:sz w:val="28"/>
          <w:szCs w:val="28"/>
        </w:rPr>
        <w:t>м´якість</w:t>
      </w:r>
      <w:proofErr w:type="spellEnd"/>
      <w:r w:rsidRPr="00BE2D10">
        <w:rPr>
          <w:sz w:val="28"/>
          <w:szCs w:val="28"/>
        </w:rPr>
        <w:t xml:space="preserve"> і поступливість, вірність і відданість, повагу до старших, освіченість, чесноти, любов до людей і сумлінність, завжди дотримується справедливості, істини, вірного шляху. Головне для нього — турбота про благо підданих, яких треба спершу нагодувати, а потім навчити, виховати у високій моральності. Концепція Конфуція містить засади «правильного державного управління», конкретні поради правителям щодо завоювання </w:t>
      </w:r>
      <w:proofErr w:type="spellStart"/>
      <w:r w:rsidRPr="00BE2D10">
        <w:rPr>
          <w:sz w:val="28"/>
          <w:szCs w:val="28"/>
        </w:rPr>
        <w:t>довір´я</w:t>
      </w:r>
      <w:proofErr w:type="spellEnd"/>
      <w:r w:rsidRPr="00BE2D10">
        <w:rPr>
          <w:sz w:val="28"/>
          <w:szCs w:val="28"/>
        </w:rPr>
        <w:t xml:space="preserve"> народу, мистецтва комунікації; обґрунтовує стрижневі принципи управління суспільством, забезпечення всезагального щастя. Вважаючи людей рівноправними від природи, Конфуцій ніколи не був демократом. Він вчив, що трудящих треба відмежовувати від панівної верстви, а жінок ставив значно нижче чоловіків. Йому не подобалося політичне управління за допомогою писаних законів. Він надавав перевагу управлінню на основі вдосконалення людської природи, а покарання закликав замінити вихованням. Конфуціанство з II ст. до н. е. до 913 p. н. е. було офіційною ідеологією Китаю, хоч на ньому </w:t>
      </w:r>
      <w:proofErr w:type="spellStart"/>
      <w:r w:rsidRPr="00BE2D10">
        <w:rPr>
          <w:sz w:val="28"/>
          <w:szCs w:val="28"/>
        </w:rPr>
        <w:t>давньокитайська</w:t>
      </w:r>
      <w:proofErr w:type="spellEnd"/>
      <w:r w:rsidRPr="00BE2D10">
        <w:rPr>
          <w:sz w:val="28"/>
          <w:szCs w:val="28"/>
        </w:rPr>
        <w:t xml:space="preserve"> політична думка не замикалася.</w:t>
      </w:r>
    </w:p>
    <w:p w:rsidR="00D51F76" w:rsidRPr="00BE2D10" w:rsidRDefault="00D51F76" w:rsidP="00D51F76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Другу її течію — </w:t>
      </w:r>
      <w:proofErr w:type="spellStart"/>
      <w:r w:rsidRPr="00BE2D10">
        <w:rPr>
          <w:b/>
          <w:i/>
          <w:sz w:val="28"/>
          <w:szCs w:val="28"/>
        </w:rPr>
        <w:t>моїзм</w:t>
      </w:r>
      <w:proofErr w:type="spellEnd"/>
      <w:r w:rsidRPr="00BE2D10">
        <w:rPr>
          <w:b/>
          <w:i/>
          <w:sz w:val="28"/>
          <w:szCs w:val="28"/>
        </w:rPr>
        <w:t xml:space="preserve"> </w:t>
      </w:r>
      <w:r w:rsidRPr="00BE2D10">
        <w:rPr>
          <w:sz w:val="28"/>
          <w:szCs w:val="28"/>
        </w:rPr>
        <w:t xml:space="preserve">— заснував </w:t>
      </w:r>
      <w:proofErr w:type="spellStart"/>
      <w:r w:rsidRPr="00BE2D10">
        <w:rPr>
          <w:b/>
          <w:i/>
          <w:sz w:val="28"/>
          <w:szCs w:val="28"/>
        </w:rPr>
        <w:t>Мо</w:t>
      </w:r>
      <w:proofErr w:type="spellEnd"/>
      <w:r w:rsidRPr="00BE2D10">
        <w:rPr>
          <w:b/>
          <w:i/>
          <w:sz w:val="28"/>
          <w:szCs w:val="28"/>
        </w:rPr>
        <w:t xml:space="preserve"> </w:t>
      </w:r>
      <w:proofErr w:type="spellStart"/>
      <w:r w:rsidRPr="00BE2D10">
        <w:rPr>
          <w:b/>
          <w:i/>
          <w:sz w:val="28"/>
          <w:szCs w:val="28"/>
        </w:rPr>
        <w:t>Цзи</w:t>
      </w:r>
      <w:proofErr w:type="spellEnd"/>
      <w:r w:rsidRPr="00BE2D10">
        <w:rPr>
          <w:sz w:val="28"/>
          <w:szCs w:val="28"/>
        </w:rPr>
        <w:t xml:space="preserve"> (479— 400 до н. e.). Однойменний трактат містив обґрунтування теорії виникнення держави, ідею федеративного устрою, принципи державного управління, пропозиції щодо створення жорсткої адміністративної структури, концепцію поєднання заохочення і покарання як важеля державного адміністрування, політичну доктрину «всезагальної </w:t>
      </w:r>
      <w:proofErr w:type="spellStart"/>
      <w:r w:rsidRPr="00BE2D10">
        <w:rPr>
          <w:sz w:val="28"/>
          <w:szCs w:val="28"/>
        </w:rPr>
        <w:t>рівновеликості</w:t>
      </w:r>
      <w:proofErr w:type="spellEnd"/>
      <w:r w:rsidRPr="00BE2D10">
        <w:rPr>
          <w:sz w:val="28"/>
          <w:szCs w:val="28"/>
        </w:rPr>
        <w:t xml:space="preserve">» — казарменого </w:t>
      </w:r>
      <w:proofErr w:type="spellStart"/>
      <w:r w:rsidRPr="00BE2D10">
        <w:rPr>
          <w:sz w:val="28"/>
          <w:szCs w:val="28"/>
        </w:rPr>
        <w:t>рівноправ´я</w:t>
      </w:r>
      <w:proofErr w:type="spellEnd"/>
      <w:r w:rsidRPr="00BE2D10">
        <w:rPr>
          <w:sz w:val="28"/>
          <w:szCs w:val="28"/>
        </w:rPr>
        <w:t xml:space="preserve">, </w:t>
      </w:r>
      <w:proofErr w:type="spellStart"/>
      <w:r w:rsidRPr="00BE2D10">
        <w:rPr>
          <w:sz w:val="28"/>
          <w:szCs w:val="28"/>
        </w:rPr>
        <w:t>залочаткування</w:t>
      </w:r>
      <w:proofErr w:type="spellEnd"/>
      <w:r w:rsidRPr="00BE2D10">
        <w:rPr>
          <w:sz w:val="28"/>
          <w:szCs w:val="28"/>
        </w:rPr>
        <w:t xml:space="preserve"> егалітаризму (зрівнялівки) у соціально-політичних відносинах.</w:t>
      </w:r>
    </w:p>
    <w:p w:rsidR="00D51F76" w:rsidRPr="00BE2D10" w:rsidRDefault="00D51F76" w:rsidP="00D51F76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Провідником третьої течії — </w:t>
      </w:r>
      <w:proofErr w:type="spellStart"/>
      <w:r w:rsidRPr="00BE2D10">
        <w:rPr>
          <w:b/>
          <w:i/>
          <w:sz w:val="28"/>
          <w:szCs w:val="28"/>
        </w:rPr>
        <w:t>легізму</w:t>
      </w:r>
      <w:proofErr w:type="spellEnd"/>
      <w:r w:rsidRPr="00BE2D10">
        <w:rPr>
          <w:sz w:val="28"/>
          <w:szCs w:val="28"/>
        </w:rPr>
        <w:t xml:space="preserve"> — був </w:t>
      </w:r>
      <w:proofErr w:type="spellStart"/>
      <w:r w:rsidRPr="00BE2D10">
        <w:rPr>
          <w:b/>
          <w:i/>
          <w:sz w:val="28"/>
          <w:szCs w:val="28"/>
        </w:rPr>
        <w:t>Шан</w:t>
      </w:r>
      <w:proofErr w:type="spellEnd"/>
      <w:r w:rsidRPr="00BE2D10">
        <w:rPr>
          <w:b/>
          <w:i/>
          <w:sz w:val="28"/>
          <w:szCs w:val="28"/>
        </w:rPr>
        <w:t xml:space="preserve"> Ян </w:t>
      </w:r>
      <w:r w:rsidRPr="00BE2D10">
        <w:rPr>
          <w:sz w:val="28"/>
          <w:szCs w:val="28"/>
        </w:rPr>
        <w:t>(400—338 до н. e.). У трактаті «</w:t>
      </w:r>
      <w:proofErr w:type="spellStart"/>
      <w:r w:rsidRPr="00BE2D10">
        <w:rPr>
          <w:sz w:val="28"/>
          <w:szCs w:val="28"/>
        </w:rPr>
        <w:t>Шан</w:t>
      </w:r>
      <w:proofErr w:type="spellEnd"/>
      <w:r w:rsidRPr="00BE2D10">
        <w:rPr>
          <w:sz w:val="28"/>
          <w:szCs w:val="28"/>
        </w:rPr>
        <w:t xml:space="preserve"> </w:t>
      </w:r>
      <w:proofErr w:type="spellStart"/>
      <w:r w:rsidRPr="00BE2D10">
        <w:rPr>
          <w:sz w:val="28"/>
          <w:szCs w:val="28"/>
        </w:rPr>
        <w:t>цзюнь</w:t>
      </w:r>
      <w:proofErr w:type="spellEnd"/>
      <w:r w:rsidRPr="00BE2D10">
        <w:rPr>
          <w:sz w:val="28"/>
          <w:szCs w:val="28"/>
        </w:rPr>
        <w:t xml:space="preserve"> </w:t>
      </w:r>
      <w:proofErr w:type="spellStart"/>
      <w:r w:rsidRPr="00BE2D10">
        <w:rPr>
          <w:sz w:val="28"/>
          <w:szCs w:val="28"/>
        </w:rPr>
        <w:t>шу</w:t>
      </w:r>
      <w:proofErr w:type="spellEnd"/>
      <w:r w:rsidRPr="00BE2D10">
        <w:rPr>
          <w:sz w:val="28"/>
          <w:szCs w:val="28"/>
        </w:rPr>
        <w:t xml:space="preserve">» він обґрунтовує державу як абсолютну інституцію, найвищу мету і вінець діяльності людини, велетенську безжалісну машину примусу, а право, закон — як найефективніший засіб досягнення такої мети. Головні риси закону — верховенство, універсальність, жорстокість, </w:t>
      </w:r>
      <w:proofErr w:type="spellStart"/>
      <w:r w:rsidRPr="00BE2D10">
        <w:rPr>
          <w:sz w:val="28"/>
          <w:szCs w:val="28"/>
        </w:rPr>
        <w:t>обов´язковість</w:t>
      </w:r>
      <w:proofErr w:type="spellEnd"/>
      <w:r w:rsidRPr="00BE2D10">
        <w:rPr>
          <w:sz w:val="28"/>
          <w:szCs w:val="28"/>
        </w:rPr>
        <w:t xml:space="preserve"> для всіх. Основні методи побудови держави (деспотичної) — матеріальне стимулювання власників, спрямованість їх на землеробство і скасування другорядних занять, «зрівняння майна» (заохочення бідних до набуття власності, а багатих — до добровільної передачі частини майна бідним), застосування нагород і покарань з перевагою покарань.</w:t>
      </w:r>
    </w:p>
    <w:p w:rsidR="00D51F76" w:rsidRPr="00BE2D10" w:rsidRDefault="00D51F76" w:rsidP="00D51F76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lastRenderedPageBreak/>
        <w:t xml:space="preserve">Четверта течія </w:t>
      </w:r>
      <w:proofErr w:type="spellStart"/>
      <w:r w:rsidRPr="00BE2D10">
        <w:rPr>
          <w:sz w:val="28"/>
          <w:szCs w:val="28"/>
        </w:rPr>
        <w:t>давньокитайської</w:t>
      </w:r>
      <w:proofErr w:type="spellEnd"/>
      <w:r w:rsidRPr="00BE2D10">
        <w:rPr>
          <w:sz w:val="28"/>
          <w:szCs w:val="28"/>
        </w:rPr>
        <w:t xml:space="preserve"> політичної думки — </w:t>
      </w:r>
      <w:r w:rsidRPr="00BE2D10">
        <w:rPr>
          <w:b/>
          <w:i/>
          <w:sz w:val="28"/>
          <w:szCs w:val="28"/>
        </w:rPr>
        <w:t>даосизм</w:t>
      </w:r>
      <w:r w:rsidRPr="00BE2D10">
        <w:rPr>
          <w:sz w:val="28"/>
          <w:szCs w:val="28"/>
        </w:rPr>
        <w:t xml:space="preserve">. Його постулати викладені </w:t>
      </w:r>
      <w:proofErr w:type="spellStart"/>
      <w:r w:rsidRPr="00BE2D10">
        <w:rPr>
          <w:sz w:val="28"/>
          <w:szCs w:val="28"/>
        </w:rPr>
        <w:t>напівлегендарним</w:t>
      </w:r>
      <w:proofErr w:type="spellEnd"/>
      <w:r w:rsidRPr="00BE2D10">
        <w:rPr>
          <w:sz w:val="28"/>
          <w:szCs w:val="28"/>
        </w:rPr>
        <w:t xml:space="preserve"> мислителем Лао </w:t>
      </w:r>
      <w:proofErr w:type="spellStart"/>
      <w:r w:rsidRPr="00BE2D10">
        <w:rPr>
          <w:sz w:val="28"/>
          <w:szCs w:val="28"/>
        </w:rPr>
        <w:t>Цзи</w:t>
      </w:r>
      <w:proofErr w:type="spellEnd"/>
      <w:r w:rsidRPr="00BE2D10">
        <w:rPr>
          <w:sz w:val="28"/>
          <w:szCs w:val="28"/>
        </w:rPr>
        <w:t xml:space="preserve"> в трактаті «</w:t>
      </w:r>
      <w:proofErr w:type="spellStart"/>
      <w:r w:rsidRPr="00BE2D10">
        <w:rPr>
          <w:sz w:val="28"/>
          <w:szCs w:val="28"/>
        </w:rPr>
        <w:t>Даоде</w:t>
      </w:r>
      <w:proofErr w:type="spellEnd"/>
      <w:r w:rsidRPr="00BE2D10">
        <w:rPr>
          <w:sz w:val="28"/>
          <w:szCs w:val="28"/>
        </w:rPr>
        <w:t xml:space="preserve"> </w:t>
      </w:r>
      <w:proofErr w:type="spellStart"/>
      <w:r w:rsidRPr="00BE2D10">
        <w:rPr>
          <w:sz w:val="28"/>
          <w:szCs w:val="28"/>
        </w:rPr>
        <w:t>цзінь</w:t>
      </w:r>
      <w:proofErr w:type="spellEnd"/>
      <w:r w:rsidRPr="00BE2D10">
        <w:rPr>
          <w:sz w:val="28"/>
          <w:szCs w:val="28"/>
        </w:rPr>
        <w:t xml:space="preserve">» (III ст. до н. е.). Згідно з ученням, </w:t>
      </w:r>
      <w:proofErr w:type="spellStart"/>
      <w:r w:rsidRPr="00BE2D10">
        <w:rPr>
          <w:sz w:val="28"/>
          <w:szCs w:val="28"/>
        </w:rPr>
        <w:t>Дао</w:t>
      </w:r>
      <w:proofErr w:type="spellEnd"/>
      <w:r w:rsidRPr="00BE2D10">
        <w:rPr>
          <w:sz w:val="28"/>
          <w:szCs w:val="28"/>
        </w:rPr>
        <w:t xml:space="preserve"> — найвищий (безликий) абсолют. Держава, суспільство і людина — природна частина </w:t>
      </w:r>
      <w:proofErr w:type="spellStart"/>
      <w:r w:rsidRPr="00BE2D10">
        <w:rPr>
          <w:sz w:val="28"/>
          <w:szCs w:val="28"/>
        </w:rPr>
        <w:t>Дао</w:t>
      </w:r>
      <w:proofErr w:type="spellEnd"/>
      <w:r w:rsidRPr="00BE2D10">
        <w:rPr>
          <w:sz w:val="28"/>
          <w:szCs w:val="28"/>
        </w:rPr>
        <w:t xml:space="preserve"> і космосу» Всі вони підпорядковуються законам вічності. Цивілізація та її надбання — це штучні утворення, що протистоять природному. Істинна мудрість — затворництво, відмова від усього штучного. Держава повинна бути маленькою державою-селом, а народ — безграмотним, що дасть змогу зробити головними методами державного управління «мудрість простоти», засновану не на знаннях, а на інтуїції та інертності адміністрації.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F76"/>
    <w:rsid w:val="00B2764B"/>
    <w:rsid w:val="00D5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7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2014-06-22T12:13:00Z</dcterms:created>
  <dcterms:modified xsi:type="dcterms:W3CDTF">2014-06-22T12:13:00Z</dcterms:modified>
</cp:coreProperties>
</file>